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658124">
      <w:pPr>
        <w:spacing w:line="640" w:lineRule="exact"/>
        <w:jc w:val="center"/>
        <w:rPr>
          <w:rFonts w:hint="eastAsia" w:ascii="黑体" w:hAnsi="黑体" w:eastAsia="黑体"/>
          <w:sz w:val="44"/>
          <w:szCs w:val="44"/>
        </w:rPr>
      </w:pPr>
      <w:r>
        <w:rPr>
          <w:rFonts w:hint="eastAsia" w:ascii="黑体" w:hAnsi="黑体" w:eastAsia="黑体"/>
          <w:sz w:val="44"/>
          <w:szCs w:val="44"/>
        </w:rPr>
        <w:t>林州市旅游和文化广电局</w:t>
      </w:r>
    </w:p>
    <w:p w14:paraId="74BEA511">
      <w:pPr>
        <w:spacing w:line="640" w:lineRule="exact"/>
        <w:jc w:val="center"/>
        <w:rPr>
          <w:rFonts w:hint="eastAsia" w:ascii="黑体" w:hAnsi="黑体" w:eastAsia="黑体"/>
          <w:sz w:val="44"/>
          <w:szCs w:val="44"/>
        </w:rPr>
      </w:pPr>
      <w:r>
        <w:rPr>
          <w:rFonts w:hint="eastAsia" w:ascii="黑体" w:hAnsi="黑体" w:eastAsia="黑体"/>
          <w:sz w:val="44"/>
          <w:szCs w:val="44"/>
        </w:rPr>
        <w:t>关于2025年中央支持地方公共文化服务体系建设补助资金分配使用管理办法</w:t>
      </w:r>
    </w:p>
    <w:p w14:paraId="38C7DC62">
      <w:pPr>
        <w:spacing w:line="640" w:lineRule="exact"/>
        <w:rPr>
          <w:rFonts w:hint="eastAsia" w:ascii="仿宋" w:hAnsi="仿宋" w:eastAsia="仿宋"/>
          <w:sz w:val="32"/>
          <w:szCs w:val="32"/>
        </w:rPr>
      </w:pPr>
      <w:r>
        <w:rPr>
          <w:rFonts w:hint="eastAsia" w:ascii="仿宋" w:hAnsi="仿宋" w:eastAsia="仿宋"/>
          <w:sz w:val="32"/>
          <w:szCs w:val="32"/>
        </w:rPr>
        <w:t xml:space="preserve"> </w:t>
      </w:r>
    </w:p>
    <w:p w14:paraId="05362480">
      <w:pPr>
        <w:spacing w:line="640" w:lineRule="exact"/>
        <w:rPr>
          <w:rFonts w:hint="eastAsia" w:ascii="仿宋" w:hAnsi="仿宋" w:eastAsia="仿宋"/>
          <w:sz w:val="32"/>
          <w:szCs w:val="32"/>
        </w:rPr>
      </w:pPr>
      <w:r>
        <w:rPr>
          <w:rFonts w:hint="eastAsia" w:ascii="仿宋" w:hAnsi="仿宋" w:eastAsia="仿宋"/>
          <w:sz w:val="32"/>
          <w:szCs w:val="32"/>
        </w:rPr>
        <w:t>市图书馆、市文化馆、红旗渠艺术团、豫剧一团、豫剧二团：</w:t>
      </w:r>
    </w:p>
    <w:p w14:paraId="2868903E">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为</w:t>
      </w:r>
      <w:r>
        <w:rPr>
          <w:rFonts w:hint="eastAsia" w:ascii="仿宋" w:hAnsi="仿宋" w:eastAsia="仿宋"/>
          <w:sz w:val="32"/>
          <w:szCs w:val="32"/>
          <w:lang w:val="en-US" w:eastAsia="zh-CN"/>
        </w:rPr>
        <w:t>深入</w:t>
      </w:r>
      <w:r>
        <w:rPr>
          <w:rFonts w:hint="eastAsia" w:ascii="仿宋" w:hAnsi="仿宋" w:eastAsia="仿宋"/>
          <w:sz w:val="32"/>
          <w:szCs w:val="32"/>
        </w:rPr>
        <w:t>贯彻落实《中共中央办公厅、国务院办公厅印发(关于加快构建现代公共文化服务体系的意见)的通知》精神，根据《财政部关于提前下达2025年中央支持地方公共文化服务体系建设补助资金预算通知》（豫财文〔2024]66号）文件要求，为加快构建地方公共文化服务体系建设，提高资金使用效益，结合我市公共文化工作，林州市旅游和文化广电局制定了《202</w:t>
      </w:r>
      <w:r>
        <w:rPr>
          <w:rFonts w:ascii="仿宋" w:hAnsi="仿宋" w:eastAsia="仿宋"/>
          <w:sz w:val="32"/>
          <w:szCs w:val="32"/>
        </w:rPr>
        <w:t>5</w:t>
      </w:r>
      <w:r>
        <w:rPr>
          <w:rFonts w:hint="eastAsia" w:ascii="仿宋" w:hAnsi="仿宋" w:eastAsia="仿宋"/>
          <w:sz w:val="32"/>
          <w:szCs w:val="32"/>
        </w:rPr>
        <w:t>年中央支持地方公共文化服务体系建设补助资金分配使用管理办法》，现印发到相关单位，请认真贯彻执行。</w:t>
      </w:r>
    </w:p>
    <w:p w14:paraId="2B732886">
      <w:pPr>
        <w:numPr>
          <w:ilvl w:val="0"/>
          <w:numId w:val="0"/>
        </w:numPr>
        <w:spacing w:line="64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 xml:space="preserve">第一条  </w:t>
      </w:r>
      <w:r>
        <w:rPr>
          <w:rFonts w:hint="eastAsia" w:ascii="仿宋" w:hAnsi="仿宋" w:eastAsia="仿宋"/>
          <w:sz w:val="32"/>
          <w:szCs w:val="32"/>
        </w:rPr>
        <w:t>为规范和加强省级公共文化服务体系建设专项资金管理，提高资金使用效益，根据《河南省省级财政专项资金管理办法》有关规定，结合我市工作实际，制定本办法。</w:t>
      </w:r>
    </w:p>
    <w:p w14:paraId="3BDA51A6">
      <w:pPr>
        <w:numPr>
          <w:ilvl w:val="0"/>
          <w:numId w:val="0"/>
        </w:numPr>
        <w:spacing w:line="64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val="en-US" w:eastAsia="zh-CN"/>
        </w:rPr>
        <w:t xml:space="preserve">第二条  </w:t>
      </w:r>
      <w:r>
        <w:rPr>
          <w:rFonts w:hint="eastAsia" w:ascii="仿宋" w:hAnsi="仿宋" w:eastAsia="仿宋"/>
          <w:color w:val="auto"/>
          <w:sz w:val="32"/>
          <w:szCs w:val="32"/>
        </w:rPr>
        <w:t>按照《财政部关于印发（中央</w:t>
      </w:r>
      <w:r>
        <w:rPr>
          <w:rFonts w:hint="eastAsia" w:ascii="仿宋" w:hAnsi="仿宋" w:eastAsia="仿宋"/>
          <w:color w:val="auto"/>
          <w:sz w:val="32"/>
          <w:szCs w:val="32"/>
          <w:lang w:eastAsia="zh-CN"/>
        </w:rPr>
        <w:t>支持</w:t>
      </w:r>
      <w:r>
        <w:rPr>
          <w:rFonts w:hint="eastAsia" w:ascii="仿宋" w:hAnsi="仿宋" w:eastAsia="仿宋"/>
          <w:color w:val="auto"/>
          <w:sz w:val="32"/>
          <w:szCs w:val="32"/>
        </w:rPr>
        <w:t>地方</w:t>
      </w:r>
      <w:r>
        <w:rPr>
          <w:rFonts w:hint="eastAsia" w:ascii="仿宋" w:hAnsi="仿宋" w:eastAsia="仿宋"/>
          <w:color w:val="auto"/>
          <w:sz w:val="32"/>
          <w:szCs w:val="32"/>
          <w:lang w:eastAsia="zh-CN"/>
        </w:rPr>
        <w:t>公共文化服务体系建设补助资金</w:t>
      </w:r>
      <w:r>
        <w:rPr>
          <w:rFonts w:hint="eastAsia" w:ascii="仿宋" w:hAnsi="仿宋" w:eastAsia="仿宋"/>
          <w:color w:val="auto"/>
          <w:sz w:val="32"/>
          <w:szCs w:val="32"/>
        </w:rPr>
        <w:t>管理办法）的通知》（财</w:t>
      </w:r>
      <w:r>
        <w:rPr>
          <w:rFonts w:hint="eastAsia" w:ascii="仿宋" w:hAnsi="仿宋" w:eastAsia="仿宋"/>
          <w:color w:val="auto"/>
          <w:sz w:val="32"/>
          <w:szCs w:val="32"/>
          <w:lang w:eastAsia="zh-CN"/>
        </w:rPr>
        <w:t>教</w:t>
      </w:r>
      <w:r>
        <w:rPr>
          <w:rFonts w:hint="eastAsia" w:ascii="仿宋" w:hAnsi="仿宋" w:eastAsia="仿宋"/>
          <w:color w:val="auto"/>
          <w:sz w:val="32"/>
          <w:szCs w:val="32"/>
        </w:rPr>
        <w:t>20</w:t>
      </w:r>
      <w:r>
        <w:rPr>
          <w:rFonts w:hint="eastAsia" w:ascii="仿宋" w:hAnsi="仿宋" w:eastAsia="仿宋"/>
          <w:color w:val="auto"/>
          <w:sz w:val="32"/>
          <w:szCs w:val="32"/>
          <w:lang w:val="en-US" w:eastAsia="zh-CN"/>
        </w:rPr>
        <w:t>22</w:t>
      </w:r>
      <w:r>
        <w:rPr>
          <w:rFonts w:hint="eastAsia" w:ascii="仿宋" w:hAnsi="仿宋" w:eastAsia="仿宋"/>
          <w:color w:val="auto"/>
          <w:sz w:val="32"/>
          <w:szCs w:val="32"/>
        </w:rPr>
        <w:t>）2</w:t>
      </w:r>
      <w:r>
        <w:rPr>
          <w:rFonts w:hint="eastAsia" w:ascii="仿宋" w:hAnsi="仿宋" w:eastAsia="仿宋"/>
          <w:color w:val="auto"/>
          <w:sz w:val="32"/>
          <w:szCs w:val="32"/>
          <w:lang w:val="en-US" w:eastAsia="zh-CN"/>
        </w:rPr>
        <w:t>7</w:t>
      </w:r>
      <w:r>
        <w:rPr>
          <w:rFonts w:hint="eastAsia" w:ascii="仿宋" w:hAnsi="仿宋" w:eastAsia="仿宋"/>
          <w:color w:val="auto"/>
          <w:sz w:val="32"/>
          <w:szCs w:val="32"/>
        </w:rPr>
        <w:t>0号、《河南省财政厅</w:t>
      </w:r>
      <w:r>
        <w:rPr>
          <w:rFonts w:hint="eastAsia" w:ascii="仿宋" w:hAnsi="仿宋" w:eastAsia="仿宋"/>
          <w:color w:val="auto"/>
          <w:sz w:val="32"/>
          <w:szCs w:val="32"/>
          <w:lang w:val="en-US" w:eastAsia="zh-CN"/>
        </w:rPr>
        <w:t xml:space="preserve"> 河南省文化和旅游厅关于印发（河南省省级公共文化服务体系建设专项资金管理办法）的通知</w:t>
      </w:r>
      <w:r>
        <w:rPr>
          <w:rFonts w:hint="eastAsia" w:ascii="仿宋" w:hAnsi="仿宋" w:eastAsia="仿宋"/>
          <w:color w:val="auto"/>
          <w:sz w:val="32"/>
          <w:szCs w:val="32"/>
        </w:rPr>
        <w:t>（豫财科[201</w:t>
      </w:r>
      <w:r>
        <w:rPr>
          <w:rFonts w:hint="eastAsia" w:ascii="仿宋" w:hAnsi="仿宋" w:eastAsia="仿宋"/>
          <w:color w:val="auto"/>
          <w:sz w:val="32"/>
          <w:szCs w:val="32"/>
          <w:lang w:val="en-US" w:eastAsia="zh-CN"/>
        </w:rPr>
        <w:t>9</w:t>
      </w:r>
      <w:r>
        <w:rPr>
          <w:rFonts w:hint="eastAsia" w:ascii="仿宋" w:hAnsi="仿宋" w:eastAsia="仿宋"/>
          <w:color w:val="auto"/>
          <w:sz w:val="32"/>
          <w:szCs w:val="32"/>
        </w:rPr>
        <w:t>]</w:t>
      </w:r>
      <w:r>
        <w:rPr>
          <w:rFonts w:hint="eastAsia" w:ascii="仿宋" w:hAnsi="仿宋" w:eastAsia="仿宋"/>
          <w:color w:val="auto"/>
          <w:sz w:val="32"/>
          <w:szCs w:val="32"/>
          <w:lang w:val="en-US" w:eastAsia="zh-CN"/>
        </w:rPr>
        <w:t>8</w:t>
      </w:r>
      <w:r>
        <w:rPr>
          <w:rFonts w:hint="eastAsia" w:ascii="仿宋" w:hAnsi="仿宋" w:eastAsia="仿宋"/>
          <w:color w:val="auto"/>
          <w:sz w:val="32"/>
          <w:szCs w:val="32"/>
        </w:rPr>
        <w:t>号）要求</w:t>
      </w:r>
      <w:r>
        <w:rPr>
          <w:rFonts w:hint="eastAsia" w:ascii="仿宋" w:hAnsi="仿宋" w:eastAsia="仿宋"/>
          <w:color w:val="auto"/>
          <w:sz w:val="32"/>
          <w:szCs w:val="32"/>
          <w:lang w:eastAsia="zh-CN"/>
        </w:rPr>
        <w:t>进行了修订。</w:t>
      </w:r>
      <w:r>
        <w:rPr>
          <w:rFonts w:hint="eastAsia" w:ascii="仿宋" w:hAnsi="仿宋" w:eastAsia="仿宋"/>
          <w:color w:val="auto"/>
          <w:sz w:val="32"/>
          <w:szCs w:val="32"/>
        </w:rPr>
        <w:t>做好资金分配</w:t>
      </w:r>
      <w:r>
        <w:rPr>
          <w:rFonts w:hint="eastAsia" w:ascii="仿宋" w:hAnsi="仿宋" w:eastAsia="仿宋"/>
          <w:color w:val="auto"/>
          <w:sz w:val="32"/>
          <w:szCs w:val="32"/>
          <w:lang w:eastAsia="zh-CN"/>
        </w:rPr>
        <w:t>及管理</w:t>
      </w:r>
      <w:r>
        <w:rPr>
          <w:rFonts w:hint="eastAsia" w:ascii="仿宋" w:hAnsi="仿宋" w:eastAsia="仿宋"/>
          <w:color w:val="auto"/>
          <w:sz w:val="32"/>
          <w:szCs w:val="32"/>
        </w:rPr>
        <w:t>。</w:t>
      </w:r>
    </w:p>
    <w:p w14:paraId="29987BB3">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第三条</w:t>
      </w:r>
      <w:r>
        <w:rPr>
          <w:rFonts w:hint="eastAsia" w:ascii="仿宋" w:hAnsi="仿宋" w:eastAsia="仿宋"/>
          <w:sz w:val="32"/>
          <w:szCs w:val="32"/>
          <w:lang w:val="en-US" w:eastAsia="zh-CN"/>
        </w:rPr>
        <w:t xml:space="preserve">  </w:t>
      </w:r>
      <w:r>
        <w:rPr>
          <w:rFonts w:hint="eastAsia" w:ascii="仿宋" w:hAnsi="仿宋" w:eastAsia="仿宋"/>
          <w:sz w:val="32"/>
          <w:szCs w:val="32"/>
        </w:rPr>
        <w:t>市财政局下达林州市旅游和文化广电局202</w:t>
      </w:r>
      <w:r>
        <w:rPr>
          <w:rFonts w:ascii="仿宋" w:hAnsi="仿宋" w:eastAsia="仿宋"/>
          <w:sz w:val="32"/>
          <w:szCs w:val="32"/>
        </w:rPr>
        <w:t>5</w:t>
      </w:r>
      <w:r>
        <w:rPr>
          <w:rFonts w:hint="eastAsia" w:ascii="仿宋" w:hAnsi="仿宋" w:eastAsia="仿宋"/>
          <w:sz w:val="32"/>
          <w:szCs w:val="32"/>
        </w:rPr>
        <w:t>年中央支持地方公共文化服务体系建设补助资</w:t>
      </w:r>
      <w:r>
        <w:rPr>
          <w:rFonts w:hint="eastAsia" w:ascii="仿宋" w:hAnsi="仿宋" w:eastAsia="仿宋"/>
          <w:sz w:val="32"/>
          <w:szCs w:val="32"/>
          <w:lang w:val="en-US" w:eastAsia="zh-CN"/>
        </w:rPr>
        <w:t>金198.26</w:t>
      </w:r>
      <w:r>
        <w:rPr>
          <w:rFonts w:hint="eastAsia" w:ascii="仿宋" w:hAnsi="仿宋" w:eastAsia="仿宋"/>
          <w:sz w:val="32"/>
          <w:szCs w:val="32"/>
        </w:rPr>
        <w:t>万元，按照基本公共文化服务实施标准确定的公共文化服务项目进行资金分配（后附202</w:t>
      </w:r>
      <w:r>
        <w:rPr>
          <w:rFonts w:ascii="仿宋" w:hAnsi="仿宋" w:eastAsia="仿宋"/>
          <w:sz w:val="32"/>
          <w:szCs w:val="32"/>
        </w:rPr>
        <w:t>5</w:t>
      </w:r>
      <w:r>
        <w:rPr>
          <w:rFonts w:hint="eastAsia" w:ascii="仿宋" w:hAnsi="仿宋" w:eastAsia="仿宋"/>
          <w:sz w:val="32"/>
          <w:szCs w:val="32"/>
        </w:rPr>
        <w:t>年中央支持地方公共文化服务体系建设补助资金分配表）。</w:t>
      </w:r>
    </w:p>
    <w:p w14:paraId="74DE2523">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第四条</w:t>
      </w:r>
      <w:r>
        <w:rPr>
          <w:rFonts w:hint="eastAsia" w:ascii="仿宋" w:hAnsi="仿宋" w:eastAsia="仿宋"/>
          <w:sz w:val="32"/>
          <w:szCs w:val="32"/>
          <w:lang w:val="en-US" w:eastAsia="zh-CN"/>
        </w:rPr>
        <w:t xml:space="preserve">  </w:t>
      </w:r>
      <w:r>
        <w:rPr>
          <w:rFonts w:hint="eastAsia" w:ascii="仿宋" w:hAnsi="仿宋" w:eastAsia="仿宋"/>
          <w:sz w:val="32"/>
          <w:szCs w:val="32"/>
        </w:rPr>
        <w:t>林州市财政局负责资金预算管理，按程序下达资金预算；审核拨付资金，组织实施财政监督检查与重点绩效再评价等。</w:t>
      </w:r>
    </w:p>
    <w:p w14:paraId="79B058F1">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第五条</w:t>
      </w:r>
      <w:r>
        <w:rPr>
          <w:rFonts w:hint="eastAsia" w:ascii="仿宋" w:hAnsi="仿宋" w:eastAsia="仿宋"/>
          <w:sz w:val="32"/>
          <w:szCs w:val="32"/>
          <w:lang w:val="en-US" w:eastAsia="zh-CN"/>
        </w:rPr>
        <w:t xml:space="preserve">  </w:t>
      </w:r>
      <w:r>
        <w:rPr>
          <w:rFonts w:hint="eastAsia" w:ascii="仿宋" w:hAnsi="仿宋" w:eastAsia="仿宋"/>
          <w:sz w:val="32"/>
          <w:szCs w:val="32"/>
        </w:rPr>
        <w:t>林州市旅游和文化广电局负责绩资金预算管理，按程序下达资金预算；审核拨付资金，组织实施财政监督检查与重点绩效考核等。202</w:t>
      </w:r>
      <w:r>
        <w:rPr>
          <w:rFonts w:ascii="仿宋" w:hAnsi="仿宋" w:eastAsia="仿宋"/>
          <w:sz w:val="32"/>
          <w:szCs w:val="32"/>
        </w:rPr>
        <w:t>5</w:t>
      </w:r>
      <w:r>
        <w:rPr>
          <w:rFonts w:hint="eastAsia" w:ascii="仿宋" w:hAnsi="仿宋" w:eastAsia="仿宋"/>
          <w:sz w:val="32"/>
          <w:szCs w:val="32"/>
        </w:rPr>
        <w:t>年10月底之前完成全部项目。</w:t>
      </w:r>
    </w:p>
    <w:p w14:paraId="63F2417D">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第六条</w:t>
      </w:r>
      <w:r>
        <w:rPr>
          <w:rFonts w:hint="eastAsia" w:ascii="仿宋" w:hAnsi="仿宋" w:eastAsia="仿宋"/>
          <w:sz w:val="32"/>
          <w:szCs w:val="32"/>
          <w:lang w:val="en-US" w:eastAsia="zh-CN"/>
        </w:rPr>
        <w:t xml:space="preserve">  </w:t>
      </w:r>
      <w:r>
        <w:rPr>
          <w:rFonts w:hint="eastAsia" w:ascii="仿宋" w:hAnsi="仿宋" w:eastAsia="仿宋"/>
          <w:sz w:val="32"/>
          <w:szCs w:val="32"/>
        </w:rPr>
        <w:t>资金不得用于支付各种罚款、捐款、赞助、投资等支出，不得用于各种工资福利性支出，不得用于偿还债务，不得用于国家规定禁止列支的其他支出。不得从奖补专项资金中安排工作经费和计提项目管理费。</w:t>
      </w:r>
    </w:p>
    <w:p w14:paraId="3B9987A8">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 xml:space="preserve">第七条 </w:t>
      </w:r>
      <w:r>
        <w:rPr>
          <w:rFonts w:hint="eastAsia" w:ascii="仿宋" w:hAnsi="仿宋" w:eastAsia="仿宋"/>
          <w:sz w:val="32"/>
          <w:szCs w:val="32"/>
          <w:lang w:val="en-US" w:eastAsia="zh-CN"/>
        </w:rPr>
        <w:t xml:space="preserve"> </w:t>
      </w:r>
      <w:r>
        <w:rPr>
          <w:rFonts w:hint="eastAsia" w:ascii="仿宋" w:hAnsi="仿宋" w:eastAsia="仿宋"/>
          <w:sz w:val="32"/>
          <w:szCs w:val="32"/>
        </w:rPr>
        <w:t>项目实施完毕，由市旅游和文化广电局会同市财政部门对奖励专项资金使用绩效进行绩效评价。</w:t>
      </w:r>
    </w:p>
    <w:p w14:paraId="21EC121A">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第八条</w:t>
      </w:r>
      <w:r>
        <w:rPr>
          <w:rFonts w:hint="eastAsia" w:ascii="仿宋" w:hAnsi="仿宋" w:eastAsia="仿宋"/>
          <w:sz w:val="32"/>
          <w:szCs w:val="32"/>
          <w:lang w:val="en-US" w:eastAsia="zh-CN"/>
        </w:rPr>
        <w:t xml:space="preserve">  </w:t>
      </w:r>
      <w:r>
        <w:rPr>
          <w:rFonts w:hint="eastAsia" w:ascii="仿宋" w:hAnsi="仿宋" w:eastAsia="仿宋"/>
          <w:sz w:val="32"/>
          <w:szCs w:val="32"/>
        </w:rPr>
        <w:t>奖补资金坚持专款专用、跟踪问效的原则，严格执行有关法律法规、财务规章制度，接受财政、审计和文化部门的监督检查。有违纪违法行为的，依纪依法追究有关单位和人员的责任。</w:t>
      </w:r>
    </w:p>
    <w:p w14:paraId="5DBDEF2F">
      <w:pPr>
        <w:spacing w:line="640" w:lineRule="exact"/>
        <w:rPr>
          <w:rFonts w:hint="eastAsia" w:ascii="仿宋" w:hAnsi="仿宋" w:eastAsia="仿宋"/>
          <w:sz w:val="32"/>
          <w:szCs w:val="32"/>
        </w:rPr>
      </w:pPr>
      <w:r>
        <w:rPr>
          <w:rFonts w:hint="eastAsia" w:ascii="仿宋" w:hAnsi="仿宋" w:eastAsia="仿宋"/>
          <w:sz w:val="32"/>
          <w:szCs w:val="32"/>
        </w:rPr>
        <w:t xml:space="preserve"> </w:t>
      </w:r>
    </w:p>
    <w:p w14:paraId="5967AFE1">
      <w:pPr>
        <w:spacing w:line="640" w:lineRule="exact"/>
        <w:ind w:firstLine="640" w:firstLineChars="200"/>
        <w:rPr>
          <w:rFonts w:hint="eastAsia" w:ascii="仿宋" w:hAnsi="仿宋" w:eastAsia="仿宋"/>
          <w:sz w:val="32"/>
          <w:szCs w:val="32"/>
        </w:rPr>
      </w:pPr>
      <w:r>
        <w:rPr>
          <w:rFonts w:hint="eastAsia" w:ascii="仿宋" w:hAnsi="仿宋" w:eastAsia="仿宋"/>
          <w:sz w:val="32"/>
          <w:szCs w:val="32"/>
        </w:rPr>
        <w:t>附件：202</w:t>
      </w:r>
      <w:r>
        <w:rPr>
          <w:rFonts w:ascii="仿宋" w:hAnsi="仿宋" w:eastAsia="仿宋"/>
          <w:sz w:val="32"/>
          <w:szCs w:val="32"/>
        </w:rPr>
        <w:t>5</w:t>
      </w:r>
      <w:r>
        <w:rPr>
          <w:rFonts w:hint="eastAsia" w:ascii="仿宋" w:hAnsi="仿宋" w:eastAsia="仿宋"/>
          <w:sz w:val="32"/>
          <w:szCs w:val="32"/>
        </w:rPr>
        <w:t>年中央支持地方公共文化服务体系建设补助资金分配表</w:t>
      </w:r>
    </w:p>
    <w:p w14:paraId="65F1FD20">
      <w:pPr>
        <w:jc w:val="left"/>
        <w:rPr>
          <w:rFonts w:hint="eastAsia" w:ascii="仿宋" w:hAnsi="仿宋" w:eastAsia="仿宋"/>
          <w:sz w:val="32"/>
          <w:szCs w:val="32"/>
        </w:rPr>
      </w:pPr>
      <w:r>
        <w:rPr>
          <w:rFonts w:hint="eastAsia" w:ascii="仿宋" w:hAnsi="仿宋" w:eastAsia="仿宋"/>
          <w:sz w:val="32"/>
          <w:szCs w:val="32"/>
        </w:rPr>
        <w:t xml:space="preserve"> </w:t>
      </w:r>
    </w:p>
    <w:p w14:paraId="0172AD78">
      <w:pPr>
        <w:rPr>
          <w:rFonts w:hint="eastAsia" w:ascii="仿宋" w:hAnsi="仿宋" w:eastAsia="仿宋"/>
          <w:sz w:val="32"/>
          <w:szCs w:val="32"/>
        </w:rPr>
      </w:pPr>
      <w:r>
        <w:rPr>
          <w:rFonts w:hint="eastAsia" w:ascii="仿宋" w:hAnsi="仿宋" w:eastAsia="仿宋"/>
          <w:sz w:val="32"/>
          <w:szCs w:val="32"/>
        </w:rPr>
        <w:t xml:space="preserve"> </w:t>
      </w:r>
    </w:p>
    <w:p w14:paraId="4DD63C7F">
      <w:pPr>
        <w:rPr>
          <w:rFonts w:hint="eastAsia" w:ascii="仿宋" w:hAnsi="仿宋" w:eastAsia="仿宋"/>
          <w:sz w:val="32"/>
          <w:szCs w:val="32"/>
        </w:rPr>
      </w:pPr>
    </w:p>
    <w:p w14:paraId="7C50FEC9">
      <w:pPr>
        <w:rPr>
          <w:rFonts w:hint="eastAsia" w:ascii="仿宋" w:hAnsi="仿宋" w:eastAsia="仿宋"/>
          <w:sz w:val="32"/>
          <w:szCs w:val="32"/>
        </w:rPr>
      </w:pPr>
    </w:p>
    <w:p w14:paraId="32F10D39">
      <w:pPr>
        <w:ind w:firstLine="4480" w:firstLineChars="1400"/>
        <w:rPr>
          <w:rFonts w:hint="eastAsia" w:ascii="仿宋" w:hAnsi="仿宋" w:eastAsia="仿宋"/>
          <w:sz w:val="32"/>
          <w:szCs w:val="32"/>
        </w:rPr>
      </w:pPr>
      <w:r>
        <w:rPr>
          <w:rFonts w:hint="eastAsia" w:ascii="仿宋" w:hAnsi="仿宋" w:eastAsia="仿宋"/>
          <w:sz w:val="32"/>
          <w:szCs w:val="32"/>
        </w:rPr>
        <w:t>林州市旅游和文化广电局</w:t>
      </w:r>
    </w:p>
    <w:p w14:paraId="28308B24">
      <w:pPr>
        <w:ind w:firstLine="5120" w:firstLineChars="1600"/>
        <w:rPr>
          <w:rFonts w:hint="eastAsia" w:ascii="仿宋" w:hAnsi="仿宋" w:eastAsia="仿宋"/>
          <w:sz w:val="32"/>
          <w:szCs w:val="32"/>
        </w:rPr>
      </w:pPr>
      <w:r>
        <w:rPr>
          <w:rFonts w:hint="eastAsia" w:ascii="仿宋" w:hAnsi="仿宋" w:eastAsia="仿宋"/>
          <w:sz w:val="32"/>
          <w:szCs w:val="32"/>
        </w:rPr>
        <w:t>202</w:t>
      </w:r>
      <w:r>
        <w:rPr>
          <w:rFonts w:ascii="仿宋" w:hAnsi="仿宋" w:eastAsia="仿宋"/>
          <w:sz w:val="32"/>
          <w:szCs w:val="32"/>
        </w:rPr>
        <w:t>5</w:t>
      </w:r>
      <w:r>
        <w:rPr>
          <w:rFonts w:hint="eastAsia" w:ascii="仿宋" w:hAnsi="仿宋" w:eastAsia="仿宋"/>
          <w:sz w:val="32"/>
          <w:szCs w:val="32"/>
        </w:rPr>
        <w:t>年</w:t>
      </w:r>
      <w:r>
        <w:rPr>
          <w:rFonts w:ascii="仿宋" w:hAnsi="仿宋" w:eastAsia="仿宋"/>
          <w:sz w:val="32"/>
          <w:szCs w:val="32"/>
        </w:rPr>
        <w:t>1</w:t>
      </w:r>
      <w:r>
        <w:rPr>
          <w:rFonts w:hint="eastAsia" w:ascii="仿宋" w:hAnsi="仿宋" w:eastAsia="仿宋"/>
          <w:sz w:val="32"/>
          <w:szCs w:val="32"/>
        </w:rPr>
        <w:t>月3日</w:t>
      </w:r>
    </w:p>
    <w:p w14:paraId="1624CB94">
      <w:pPr>
        <w:jc w:val="left"/>
        <w:rPr>
          <w:rFonts w:hint="eastAsia"/>
          <w:sz w:val="30"/>
          <w:szCs w:val="30"/>
        </w:rPr>
      </w:pPr>
      <w:r>
        <w:rPr>
          <w:rFonts w:hint="eastAsia"/>
          <w:sz w:val="30"/>
          <w:szCs w:val="30"/>
        </w:rPr>
        <w:t xml:space="preserve"> </w:t>
      </w:r>
    </w:p>
    <w:p w14:paraId="560C9D86">
      <w:pPr>
        <w:widowControl/>
        <w:jc w:val="left"/>
        <w:rPr>
          <w:rFonts w:hint="eastAsia"/>
          <w:sz w:val="30"/>
          <w:szCs w:val="30"/>
        </w:rPr>
      </w:pPr>
      <w:r>
        <w:rPr>
          <w:rFonts w:hint="eastAsia"/>
          <w:sz w:val="30"/>
          <w:szCs w:val="30"/>
        </w:rPr>
        <w:t xml:space="preserve"> </w:t>
      </w:r>
    </w:p>
    <w:p w14:paraId="32691DEA">
      <w:pPr>
        <w:widowControl/>
        <w:jc w:val="left"/>
        <w:rPr>
          <w:rFonts w:hint="eastAsia"/>
          <w:sz w:val="30"/>
          <w:szCs w:val="30"/>
        </w:rPr>
      </w:pPr>
      <w:r>
        <w:rPr>
          <w:rFonts w:hint="eastAsia"/>
          <w:sz w:val="30"/>
          <w:szCs w:val="30"/>
        </w:rPr>
        <w:t xml:space="preserve"> </w:t>
      </w:r>
    </w:p>
    <w:p w14:paraId="43F11E9C">
      <w:pPr>
        <w:widowControl/>
        <w:jc w:val="left"/>
        <w:rPr>
          <w:rFonts w:hint="eastAsia"/>
          <w:sz w:val="30"/>
          <w:szCs w:val="30"/>
        </w:rPr>
      </w:pPr>
      <w:r>
        <w:rPr>
          <w:rFonts w:hint="eastAsia"/>
          <w:sz w:val="30"/>
          <w:szCs w:val="30"/>
        </w:rPr>
        <w:t xml:space="preserve"> </w:t>
      </w:r>
    </w:p>
    <w:p w14:paraId="0827B370">
      <w:pPr>
        <w:widowControl/>
        <w:jc w:val="left"/>
        <w:rPr>
          <w:rFonts w:hint="eastAsia"/>
          <w:sz w:val="30"/>
          <w:szCs w:val="30"/>
        </w:rPr>
      </w:pPr>
      <w:r>
        <w:rPr>
          <w:rFonts w:hint="eastAsia"/>
          <w:sz w:val="30"/>
          <w:szCs w:val="30"/>
        </w:rPr>
        <w:t xml:space="preserve"> </w:t>
      </w:r>
    </w:p>
    <w:p w14:paraId="1D9C6150">
      <w:pPr>
        <w:widowControl/>
        <w:jc w:val="left"/>
        <w:rPr>
          <w:rFonts w:hint="eastAsia"/>
          <w:sz w:val="30"/>
          <w:szCs w:val="30"/>
        </w:rPr>
      </w:pPr>
      <w:r>
        <w:rPr>
          <w:rFonts w:hint="eastAsia"/>
          <w:sz w:val="30"/>
          <w:szCs w:val="30"/>
        </w:rPr>
        <w:t xml:space="preserve"> </w:t>
      </w:r>
    </w:p>
    <w:p w14:paraId="70281795">
      <w:pPr>
        <w:widowControl/>
        <w:jc w:val="left"/>
        <w:rPr>
          <w:rFonts w:hint="eastAsia"/>
          <w:sz w:val="30"/>
          <w:szCs w:val="30"/>
        </w:rPr>
      </w:pPr>
      <w:r>
        <w:rPr>
          <w:rFonts w:hint="eastAsia"/>
          <w:sz w:val="30"/>
          <w:szCs w:val="30"/>
        </w:rPr>
        <w:t xml:space="preserve"> </w:t>
      </w:r>
    </w:p>
    <w:p w14:paraId="50302025">
      <w:pPr>
        <w:widowControl/>
        <w:jc w:val="left"/>
        <w:rPr>
          <w:rFonts w:hint="eastAsia"/>
          <w:sz w:val="30"/>
          <w:szCs w:val="30"/>
        </w:rPr>
      </w:pPr>
    </w:p>
    <w:p w14:paraId="0F325214">
      <w:pPr>
        <w:widowControl/>
        <w:jc w:val="left"/>
        <w:rPr>
          <w:rFonts w:hint="eastAsia"/>
          <w:sz w:val="30"/>
          <w:szCs w:val="30"/>
        </w:rPr>
      </w:pPr>
    </w:p>
    <w:p w14:paraId="6A3040F8">
      <w:pPr>
        <w:widowControl/>
        <w:jc w:val="left"/>
        <w:rPr>
          <w:rFonts w:hint="eastAsia"/>
          <w:sz w:val="30"/>
          <w:szCs w:val="30"/>
        </w:rPr>
      </w:pPr>
      <w:r>
        <w:rPr>
          <w:rFonts w:hint="eastAsia"/>
          <w:sz w:val="30"/>
          <w:szCs w:val="30"/>
        </w:rPr>
        <w:t>附件</w:t>
      </w:r>
    </w:p>
    <w:p w14:paraId="16F7E2C5">
      <w:pPr>
        <w:spacing w:line="360" w:lineRule="auto"/>
        <w:jc w:val="center"/>
        <w:rPr>
          <w:rFonts w:hint="eastAsia" w:ascii="宋体" w:hAnsi="宋体"/>
          <w:sz w:val="36"/>
          <w:szCs w:val="36"/>
        </w:rPr>
      </w:pPr>
      <w:r>
        <w:rPr>
          <w:rFonts w:hint="eastAsia" w:ascii="宋体" w:hAnsi="宋体"/>
          <w:sz w:val="36"/>
          <w:szCs w:val="36"/>
        </w:rPr>
        <w:t>202</w:t>
      </w:r>
      <w:r>
        <w:rPr>
          <w:rFonts w:ascii="宋体" w:hAnsi="宋体"/>
          <w:sz w:val="36"/>
          <w:szCs w:val="36"/>
        </w:rPr>
        <w:t>5</w:t>
      </w:r>
      <w:r>
        <w:rPr>
          <w:rFonts w:hint="eastAsia" w:ascii="宋体" w:hAnsi="宋体"/>
          <w:sz w:val="36"/>
          <w:szCs w:val="36"/>
        </w:rPr>
        <w:t>年中央支持地方公共文化服务体系</w:t>
      </w:r>
    </w:p>
    <w:p w14:paraId="2FC0065A">
      <w:pPr>
        <w:spacing w:line="360" w:lineRule="auto"/>
        <w:jc w:val="center"/>
        <w:rPr>
          <w:rFonts w:hint="eastAsia" w:ascii="宋体" w:hAnsi="宋体"/>
          <w:sz w:val="36"/>
          <w:szCs w:val="36"/>
        </w:rPr>
      </w:pPr>
      <w:r>
        <w:rPr>
          <w:rFonts w:hint="eastAsia" w:ascii="宋体" w:hAnsi="宋体"/>
          <w:sz w:val="36"/>
          <w:szCs w:val="36"/>
        </w:rPr>
        <w:t>建设补助资金分配表</w:t>
      </w:r>
    </w:p>
    <w:tbl>
      <w:tblPr>
        <w:tblStyle w:val="2"/>
        <w:tblW w:w="9538" w:type="dxa"/>
        <w:tblInd w:w="-18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4485"/>
        <w:gridCol w:w="1431"/>
        <w:gridCol w:w="625"/>
      </w:tblGrid>
      <w:tr w14:paraId="7E762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2997" w:type="dxa"/>
            <w:vAlign w:val="center"/>
          </w:tcPr>
          <w:p w14:paraId="54A77B3E">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 w:hAnsi="仿宋" w:eastAsia="仿宋" w:cs="仿宋"/>
                <w:b/>
                <w:bCs/>
                <w:sz w:val="24"/>
                <w:szCs w:val="24"/>
              </w:rPr>
            </w:pPr>
            <w:r>
              <w:rPr>
                <w:rFonts w:hint="eastAsia" w:ascii="仿宋" w:hAnsi="仿宋" w:eastAsia="仿宋" w:cs="仿宋"/>
                <w:b/>
                <w:bCs/>
                <w:sz w:val="24"/>
                <w:szCs w:val="24"/>
              </w:rPr>
              <w:t>项  目</w:t>
            </w:r>
          </w:p>
        </w:tc>
        <w:tc>
          <w:tcPr>
            <w:tcW w:w="4485" w:type="dxa"/>
            <w:vAlign w:val="center"/>
          </w:tcPr>
          <w:p w14:paraId="67D7F771">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 w:hAnsi="仿宋" w:eastAsia="仿宋" w:cs="仿宋"/>
                <w:b/>
                <w:bCs/>
                <w:sz w:val="24"/>
                <w:szCs w:val="24"/>
              </w:rPr>
            </w:pPr>
            <w:r>
              <w:rPr>
                <w:rFonts w:hint="eastAsia" w:ascii="仿宋" w:hAnsi="仿宋" w:eastAsia="仿宋" w:cs="仿宋"/>
                <w:b/>
                <w:bCs/>
                <w:sz w:val="24"/>
                <w:szCs w:val="24"/>
              </w:rPr>
              <w:t>内  容</w:t>
            </w:r>
          </w:p>
        </w:tc>
        <w:tc>
          <w:tcPr>
            <w:tcW w:w="1431" w:type="dxa"/>
            <w:vAlign w:val="center"/>
          </w:tcPr>
          <w:p w14:paraId="607F8567">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 w:hAnsi="仿宋" w:eastAsia="仿宋" w:cs="仿宋"/>
                <w:b/>
                <w:bCs/>
                <w:sz w:val="24"/>
                <w:szCs w:val="24"/>
              </w:rPr>
            </w:pPr>
            <w:r>
              <w:rPr>
                <w:rFonts w:hint="eastAsia" w:ascii="仿宋" w:hAnsi="仿宋" w:eastAsia="仿宋" w:cs="仿宋"/>
                <w:b/>
                <w:bCs/>
                <w:sz w:val="24"/>
                <w:szCs w:val="24"/>
              </w:rPr>
              <w:t>预算</w:t>
            </w:r>
          </w:p>
        </w:tc>
        <w:tc>
          <w:tcPr>
            <w:tcW w:w="625" w:type="dxa"/>
            <w:vAlign w:val="center"/>
          </w:tcPr>
          <w:p w14:paraId="1A4C2E0B">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 w:hAnsi="仿宋" w:eastAsia="仿宋" w:cs="仿宋"/>
                <w:b/>
                <w:bCs/>
                <w:sz w:val="24"/>
                <w:szCs w:val="24"/>
              </w:rPr>
            </w:pPr>
            <w:r>
              <w:rPr>
                <w:rFonts w:hint="eastAsia" w:ascii="仿宋" w:hAnsi="仿宋" w:eastAsia="仿宋" w:cs="仿宋"/>
                <w:b/>
                <w:bCs/>
                <w:sz w:val="24"/>
                <w:szCs w:val="24"/>
              </w:rPr>
              <w:t>备注</w:t>
            </w:r>
          </w:p>
        </w:tc>
      </w:tr>
      <w:tr w14:paraId="6061B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9538" w:type="dxa"/>
            <w:gridSpan w:val="4"/>
            <w:vAlign w:val="center"/>
          </w:tcPr>
          <w:p w14:paraId="6B3A2766">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 w:hAnsi="仿宋" w:eastAsia="仿宋" w:cs="仿宋"/>
                <w:sz w:val="24"/>
                <w:szCs w:val="24"/>
              </w:rPr>
            </w:pPr>
            <w:r>
              <w:rPr>
                <w:rFonts w:hint="eastAsia" w:ascii="仿宋" w:hAnsi="仿宋" w:eastAsia="仿宋" w:cs="仿宋"/>
                <w:b/>
                <w:bCs/>
                <w:sz w:val="24"/>
                <w:szCs w:val="24"/>
              </w:rPr>
              <w:t>1．林州市文化馆</w:t>
            </w:r>
          </w:p>
        </w:tc>
      </w:tr>
      <w:tr w14:paraId="3D751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5" w:hRule="atLeast"/>
        </w:trPr>
        <w:tc>
          <w:tcPr>
            <w:tcW w:w="2997" w:type="dxa"/>
            <w:vAlign w:val="center"/>
          </w:tcPr>
          <w:p w14:paraId="7AC37A04">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组织开展2025年河南省安阳市惠民文化节、林州市十大群众文化活动等重大群众文化活动</w:t>
            </w:r>
          </w:p>
        </w:tc>
        <w:tc>
          <w:tcPr>
            <w:tcW w:w="4485" w:type="dxa"/>
            <w:vAlign w:val="center"/>
          </w:tcPr>
          <w:p w14:paraId="1B8496D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开展“中原舞翩跹”广场舞大赛、“唱响新时代”合唱大赛、青少年才艺大赛、四季村晚、红旗渠之声等群众文化活动20场，艺术培训讲座5期，更新部分演播厅灯光音响器材。</w:t>
            </w:r>
          </w:p>
        </w:tc>
        <w:tc>
          <w:tcPr>
            <w:tcW w:w="1431" w:type="dxa"/>
            <w:vAlign w:val="center"/>
          </w:tcPr>
          <w:p w14:paraId="4F17E9A5">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35万元</w:t>
            </w:r>
          </w:p>
        </w:tc>
        <w:tc>
          <w:tcPr>
            <w:tcW w:w="625" w:type="dxa"/>
            <w:vAlign w:val="center"/>
          </w:tcPr>
          <w:p w14:paraId="6BBFD8A5">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r>
      <w:tr w14:paraId="32E86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9538" w:type="dxa"/>
            <w:gridSpan w:val="4"/>
            <w:vAlign w:val="center"/>
          </w:tcPr>
          <w:p w14:paraId="455E9ED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b/>
                <w:bCs/>
                <w:sz w:val="24"/>
                <w:szCs w:val="24"/>
              </w:rPr>
              <w:t>2．林州市图书馆</w:t>
            </w:r>
          </w:p>
        </w:tc>
      </w:tr>
      <w:tr w14:paraId="16B4A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2997" w:type="dxa"/>
            <w:vAlign w:val="center"/>
          </w:tcPr>
          <w:p w14:paraId="477DF743">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购书项目</w:t>
            </w:r>
          </w:p>
        </w:tc>
        <w:tc>
          <w:tcPr>
            <w:tcW w:w="4485" w:type="dxa"/>
            <w:vAlign w:val="center"/>
          </w:tcPr>
          <w:p w14:paraId="35CB6601">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采购10000册图书</w:t>
            </w:r>
          </w:p>
        </w:tc>
        <w:tc>
          <w:tcPr>
            <w:tcW w:w="1431" w:type="dxa"/>
            <w:vAlign w:val="center"/>
          </w:tcPr>
          <w:p w14:paraId="5F30FE41">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35万元</w:t>
            </w:r>
          </w:p>
        </w:tc>
        <w:tc>
          <w:tcPr>
            <w:tcW w:w="625" w:type="dxa"/>
            <w:vAlign w:val="center"/>
          </w:tcPr>
          <w:p w14:paraId="5CC471D4">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r>
      <w:tr w14:paraId="4558C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9538" w:type="dxa"/>
            <w:gridSpan w:val="4"/>
            <w:vAlign w:val="center"/>
          </w:tcPr>
          <w:p w14:paraId="258BD1D9">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b/>
                <w:bCs/>
                <w:sz w:val="24"/>
                <w:szCs w:val="24"/>
              </w:rPr>
              <w:t>3．林州市红旗渠艺术团</w:t>
            </w:r>
          </w:p>
        </w:tc>
      </w:tr>
      <w:tr w14:paraId="0A065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7" w:hRule="atLeast"/>
        </w:trPr>
        <w:tc>
          <w:tcPr>
            <w:tcW w:w="2997" w:type="dxa"/>
            <w:vAlign w:val="center"/>
          </w:tcPr>
          <w:p w14:paraId="4A0A5E99">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组织开展2025年文艺进景区、进企业、进厂矿、进乡村等系列文化活动</w:t>
            </w:r>
          </w:p>
        </w:tc>
        <w:tc>
          <w:tcPr>
            <w:tcW w:w="4485" w:type="dxa"/>
            <w:vAlign w:val="center"/>
          </w:tcPr>
          <w:p w14:paraId="4C08C606">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进企业、进乡村、进景区系列文化活动，共计40场</w:t>
            </w:r>
          </w:p>
        </w:tc>
        <w:tc>
          <w:tcPr>
            <w:tcW w:w="1431" w:type="dxa"/>
            <w:vAlign w:val="center"/>
          </w:tcPr>
          <w:p w14:paraId="68283BD7">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23.2</w:t>
            </w:r>
            <w:r>
              <w:rPr>
                <w:rFonts w:hint="eastAsia" w:ascii="仿宋" w:hAnsi="仿宋" w:eastAsia="仿宋" w:cs="仿宋"/>
                <w:sz w:val="24"/>
                <w:szCs w:val="24"/>
                <w:lang w:val="en-US" w:eastAsia="zh-CN"/>
              </w:rPr>
              <w:t>6</w:t>
            </w:r>
            <w:r>
              <w:rPr>
                <w:rFonts w:hint="eastAsia" w:ascii="仿宋" w:hAnsi="仿宋" w:eastAsia="仿宋" w:cs="仿宋"/>
                <w:sz w:val="24"/>
                <w:szCs w:val="24"/>
              </w:rPr>
              <w:t>万</w:t>
            </w:r>
            <w:bookmarkStart w:id="1" w:name="_GoBack"/>
            <w:bookmarkEnd w:id="1"/>
            <w:r>
              <w:rPr>
                <w:rFonts w:hint="eastAsia" w:ascii="仿宋" w:hAnsi="仿宋" w:eastAsia="仿宋" w:cs="仿宋"/>
                <w:sz w:val="24"/>
                <w:szCs w:val="24"/>
              </w:rPr>
              <w:t>元</w:t>
            </w:r>
          </w:p>
        </w:tc>
        <w:tc>
          <w:tcPr>
            <w:tcW w:w="625" w:type="dxa"/>
            <w:vAlign w:val="center"/>
          </w:tcPr>
          <w:p w14:paraId="6989C680">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r>
      <w:tr w14:paraId="2A45B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9538" w:type="dxa"/>
            <w:gridSpan w:val="4"/>
            <w:vAlign w:val="center"/>
          </w:tcPr>
          <w:p w14:paraId="2176E43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b/>
                <w:bCs/>
                <w:sz w:val="24"/>
                <w:szCs w:val="24"/>
              </w:rPr>
              <w:t>4．林州市豫剧一团、林州市豫剧二团、林州市红旗渠艺术团</w:t>
            </w:r>
          </w:p>
        </w:tc>
      </w:tr>
      <w:tr w14:paraId="7A410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7" w:hRule="atLeast"/>
        </w:trPr>
        <w:tc>
          <w:tcPr>
            <w:tcW w:w="2997" w:type="dxa"/>
            <w:vAlign w:val="center"/>
          </w:tcPr>
          <w:p w14:paraId="49883EC3">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2025年政府公益演出（林州市豫剧一团、林州市豫剧二团、林州市红旗渠艺术团）</w:t>
            </w:r>
          </w:p>
        </w:tc>
        <w:tc>
          <w:tcPr>
            <w:tcW w:w="4485" w:type="dxa"/>
            <w:vAlign w:val="center"/>
          </w:tcPr>
          <w:p w14:paraId="25F17A34">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根据《安阳市文化广电体育旅游局关于开展2025年安阳市国有文艺院团社会效益评价考核工作的通知》要求2025年政府公益演出100场，每场补贴6000元。</w:t>
            </w:r>
          </w:p>
        </w:tc>
        <w:tc>
          <w:tcPr>
            <w:tcW w:w="1431" w:type="dxa"/>
            <w:vAlign w:val="center"/>
          </w:tcPr>
          <w:p w14:paraId="1C0EA941">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60万元</w:t>
            </w:r>
          </w:p>
        </w:tc>
        <w:tc>
          <w:tcPr>
            <w:tcW w:w="625" w:type="dxa"/>
            <w:vAlign w:val="center"/>
          </w:tcPr>
          <w:p w14:paraId="4A8EF2D8">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r>
      <w:tr w14:paraId="6FAB0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trPr>
        <w:tc>
          <w:tcPr>
            <w:tcW w:w="2997" w:type="dxa"/>
            <w:vAlign w:val="center"/>
          </w:tcPr>
          <w:p w14:paraId="1E404E80">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组织开展2025年林州市戏曲进乡村惠民演出</w:t>
            </w:r>
          </w:p>
        </w:tc>
        <w:tc>
          <w:tcPr>
            <w:tcW w:w="4485" w:type="dxa"/>
            <w:vAlign w:val="center"/>
          </w:tcPr>
          <w:p w14:paraId="607812DF">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left"/>
              <w:textAlignment w:val="auto"/>
              <w:rPr>
                <w:rFonts w:hint="eastAsia" w:ascii="仿宋" w:hAnsi="仿宋" w:eastAsia="仿宋" w:cs="仿宋"/>
                <w:sz w:val="24"/>
                <w:szCs w:val="24"/>
              </w:rPr>
            </w:pPr>
            <w:r>
              <w:rPr>
                <w:rFonts w:hint="eastAsia" w:ascii="仿宋" w:hAnsi="仿宋" w:eastAsia="仿宋" w:cs="仿宋"/>
                <w:sz w:val="24"/>
              </w:rPr>
              <w:t>2025年林州市戏曲进乡村69场(林州市豫剧一团35场，林州市豫剧二团34场），每场补贴6000元</w:t>
            </w:r>
          </w:p>
        </w:tc>
        <w:tc>
          <w:tcPr>
            <w:tcW w:w="1431" w:type="dxa"/>
            <w:vAlign w:val="center"/>
          </w:tcPr>
          <w:p w14:paraId="20A66A9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41.4万元</w:t>
            </w:r>
          </w:p>
        </w:tc>
        <w:tc>
          <w:tcPr>
            <w:tcW w:w="625" w:type="dxa"/>
            <w:vAlign w:val="center"/>
          </w:tcPr>
          <w:p w14:paraId="1CB05115">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r>
      <w:tr w14:paraId="2579D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2997" w:type="dxa"/>
            <w:vAlign w:val="center"/>
          </w:tcPr>
          <w:p w14:paraId="1225CD7A">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2025年林州市戏曲进校园</w:t>
            </w:r>
          </w:p>
        </w:tc>
        <w:tc>
          <w:tcPr>
            <w:tcW w:w="4485" w:type="dxa"/>
            <w:vAlign w:val="center"/>
          </w:tcPr>
          <w:p w14:paraId="17E3AC6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color w:val="auto"/>
                <w:sz w:val="24"/>
                <w:szCs w:val="24"/>
              </w:rPr>
              <w:t>2025年林州市戏曲进校园</w:t>
            </w: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场，每场补贴4000元。</w:t>
            </w:r>
          </w:p>
        </w:tc>
        <w:tc>
          <w:tcPr>
            <w:tcW w:w="1431" w:type="dxa"/>
            <w:vAlign w:val="center"/>
          </w:tcPr>
          <w:p w14:paraId="502995B5">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3.6万元</w:t>
            </w:r>
          </w:p>
        </w:tc>
        <w:tc>
          <w:tcPr>
            <w:tcW w:w="625" w:type="dxa"/>
            <w:vAlign w:val="center"/>
          </w:tcPr>
          <w:p w14:paraId="37B096B4">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r>
      <w:tr w14:paraId="384CB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2997" w:type="dxa"/>
            <w:vAlign w:val="center"/>
          </w:tcPr>
          <w:p w14:paraId="76A1AE4C">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c>
          <w:tcPr>
            <w:tcW w:w="6541" w:type="dxa"/>
            <w:gridSpan w:val="3"/>
            <w:vAlign w:val="center"/>
          </w:tcPr>
          <w:p w14:paraId="2DFDC634">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r>
              <w:rPr>
                <w:rFonts w:hint="eastAsia" w:ascii="仿宋" w:hAnsi="仿宋" w:eastAsia="仿宋" w:cs="仿宋"/>
                <w:sz w:val="24"/>
                <w:szCs w:val="24"/>
              </w:rPr>
              <w:t xml:space="preserve">合计 </w:t>
            </w:r>
            <w:bookmarkStart w:id="0" w:name="_Hlk186815760"/>
            <w:r>
              <w:rPr>
                <w:rFonts w:hint="eastAsia" w:ascii="仿宋" w:hAnsi="仿宋" w:eastAsia="仿宋" w:cs="仿宋"/>
                <w:sz w:val="24"/>
                <w:szCs w:val="24"/>
              </w:rPr>
              <w:t>198.26</w:t>
            </w:r>
            <w:bookmarkEnd w:id="0"/>
            <w:r>
              <w:rPr>
                <w:rFonts w:hint="eastAsia" w:ascii="仿宋" w:hAnsi="仿宋" w:eastAsia="仿宋" w:cs="仿宋"/>
                <w:sz w:val="24"/>
                <w:szCs w:val="24"/>
              </w:rPr>
              <w:t>万元</w:t>
            </w:r>
          </w:p>
        </w:tc>
      </w:tr>
    </w:tbl>
    <w:p w14:paraId="0C0FF952">
      <w:pPr>
        <w:keepNext w:val="0"/>
        <w:keepLines w:val="0"/>
        <w:pageBreakBefore w:val="0"/>
        <w:widowControl w:val="0"/>
        <w:kinsoku/>
        <w:wordWrap/>
        <w:overflowPunct/>
        <w:topLinePunct w:val="0"/>
        <w:autoSpaceDE/>
        <w:autoSpaceDN/>
        <w:bidi w:val="0"/>
        <w:adjustRightInd/>
        <w:snapToGrid/>
        <w:spacing w:line="360" w:lineRule="exact"/>
        <w:jc w:val="left"/>
        <w:textAlignment w:val="auto"/>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isplayHorizontalDrawingGridEvery w:val="0"/>
  <w:displayVerticalDrawingGridEvery w:val="2"/>
  <w:characterSpacingControl w:val="compressPunctuation"/>
  <w:compat>
    <w:balanceSingleByteDoubleByteWidth/>
    <w:doNotLeaveBackslashAlone/>
    <w:ulTrailSpace/>
    <w:doNotExpandShiftReturn/>
    <w:adjustLineHeightInTable/>
    <w:useFELayout/>
    <w:compatSetting w:name="compatibilityMode" w:uri="http://schemas.microsoft.com/office/word" w:val="11"/>
  </w:compat>
  <w:rsids>
    <w:rsidRoot w:val="00000000"/>
    <w:rsid w:val="285D5434"/>
    <w:rsid w:val="3FFF7F4D"/>
    <w:rsid w:val="5B9D7962"/>
    <w:rsid w:val="5DA92100"/>
    <w:rsid w:val="5FFBB4CF"/>
    <w:rsid w:val="65A27DD5"/>
    <w:rsid w:val="6C7A17D8"/>
    <w:rsid w:val="BDFFA649"/>
    <w:rsid w:val="CD9B99E4"/>
    <w:rsid w:val="DBEB15A6"/>
    <w:rsid w:val="DEAE10C6"/>
    <w:rsid w:val="DFFF9A43"/>
    <w:rsid w:val="EFD6D6BF"/>
    <w:rsid w:val="F1A71B02"/>
    <w:rsid w:val="FDDFEAA2"/>
    <w:rsid w:val="FFBE53F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widowControl w:val="0"/>
      <w:jc w:val="both"/>
    </w:pPr>
    <w:rPr>
      <w:rFonts w:ascii="Calibri" w:hAnsi="Calibri" w:eastAsia="宋体" w:cs="Times New Roman"/>
      <w:kern w:val="2"/>
      <w:sz w:val="21"/>
      <w:szCs w:val="21"/>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默认段落字体1"/>
    <w:link w:val="1"/>
    <w:semiHidden/>
    <w:qFormat/>
    <w:uiPriority w:val="0"/>
  </w:style>
  <w:style w:type="table" w:customStyle="1" w:styleId="5">
    <w:name w:val="普通表格1"/>
    <w:semiHidden/>
    <w:qFormat/>
    <w:uiPriority w:val="0"/>
  </w:style>
  <w:style w:type="table" w:customStyle="1" w:styleId="6">
    <w:name w:val="网格型1"/>
    <w:basedOn w:val="5"/>
    <w:qFormat/>
    <w:uiPriority w:val="0"/>
    <w:pPr>
      <w:widowControl w:val="0"/>
      <w:jc w:val="both"/>
    </w:pPr>
  </w:style>
  <w:style w:type="paragraph" w:customStyle="1" w:styleId="7">
    <w:name w:val="页眉1"/>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字符"/>
    <w:link w:val="7"/>
    <w:qFormat/>
    <w:uiPriority w:val="0"/>
    <w:rPr>
      <w:rFonts w:ascii="Calibri" w:hAnsi="Calibri"/>
      <w:kern w:val="2"/>
      <w:sz w:val="18"/>
      <w:szCs w:val="18"/>
    </w:rPr>
  </w:style>
  <w:style w:type="paragraph" w:customStyle="1" w:styleId="9">
    <w:name w:val="页脚1"/>
    <w:basedOn w:val="1"/>
    <w:link w:val="10"/>
    <w:qFormat/>
    <w:uiPriority w:val="0"/>
    <w:pPr>
      <w:tabs>
        <w:tab w:val="center" w:pos="4153"/>
        <w:tab w:val="right" w:pos="8306"/>
      </w:tabs>
      <w:snapToGrid w:val="0"/>
      <w:jc w:val="left"/>
    </w:pPr>
    <w:rPr>
      <w:sz w:val="18"/>
      <w:szCs w:val="18"/>
    </w:rPr>
  </w:style>
  <w:style w:type="character" w:customStyle="1" w:styleId="10">
    <w:name w:val="页脚 字符"/>
    <w:link w:val="9"/>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Pages>
  <Words>1457</Words>
  <Characters>1570</Characters>
  <Lines>0</Lines>
  <Paragraphs>0</Paragraphs>
  <TotalTime>12</TotalTime>
  <ScaleCrop>false</ScaleCrop>
  <LinksUpToDate>false</LinksUpToDate>
  <CharactersWithSpaces>1603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2025-01-05T17:43:00Z</dcterms:created>
  <dc:creator>林州市文化广播电视新闻出版局</dc:creator>
  <cp:lastModifiedBy>林州市文化广播电视新闻出版局</cp:lastModifiedBy>
  <cp:lastPrinted>2025-01-06T01:44:00Z</cp:lastPrinted>
  <dcterms:modified xsi:type="dcterms:W3CDTF">2025-05-22T01:14:08Z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eyJoZGlkIjoiNjJhMTYzNDNlOWU3YzIyMzlmM2M1NWIwNjRkMGJkMmQifQ==</vt:lpwstr>
  </property>
  <property fmtid="{D5CDD505-2E9C-101B-9397-08002B2CF9AE}" pid="3" name="KSOProductBuildVer">
    <vt:lpwstr>2052-12.1.0.21171</vt:lpwstr>
  </property>
  <property fmtid="{D5CDD505-2E9C-101B-9397-08002B2CF9AE}" pid="4" name="ICV">
    <vt:lpwstr>057D8E927D94487E9038B845DC878229_12</vt:lpwstr>
  </property>
</Properties>
</file>